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 w:before="0" w:after="0"/>
        <w:jc w:val="both"/>
        <w:rPr>
          <w:rFonts w:ascii="Arial" w:hAnsi="Arial" w:cs="Bell MT"/>
          <w:b w:val="false"/>
          <w:b w:val="false"/>
          <w:bCs w:val="false"/>
          <w:color w:val="auto"/>
          <w:sz w:val="24"/>
          <w:szCs w:val="24"/>
          <w:shd w:fill="auto" w:val="clear"/>
          <w:lang w:val="pt-BR" w:bidi="hi-IN"/>
        </w:rPr>
      </w:pPr>
      <w:r>
        <w:rPr>
          <w:rStyle w:val="Nfaseforte"/>
          <w:rFonts w:cs="Bell MT" w:ascii="Liberation Serif" w:hAnsi="Liberation Serif"/>
          <w:color w:val="000000"/>
          <w:sz w:val="24"/>
          <w:szCs w:val="24"/>
          <w:shd w:fill="auto" w:val="clear"/>
          <w:lang w:val="pt-BR" w:bidi="hi-IN"/>
        </w:rPr>
        <w:t xml:space="preserve">AO JUÍZO DE DIREITO DA </w:t>
      </w:r>
      <w:r>
        <w:rPr>
          <w:rStyle w:val="Nfaseforte"/>
          <w:rFonts w:cs="Bell MT" w:ascii="Liberation Serif" w:hAnsi="Liberation Serif"/>
          <w:color w:val="000000"/>
          <w:sz w:val="24"/>
          <w:szCs w:val="24"/>
          <w:shd w:fill="ADC5E7" w:val="clear"/>
          <w:lang w:val="pt-BR" w:bidi="hi-IN"/>
        </w:rPr>
        <w:t>[VARA COMPETENTE]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/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/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/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/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Style w:val="Nfaseforte"/>
          <w:rFonts w:ascii="Liberation Serif" w:hAnsi="Liberation Serif"/>
          <w:color w:val="000000"/>
          <w:sz w:val="24"/>
          <w:szCs w:val="24"/>
        </w:rPr>
        <w:t>PROCESSO N°: XXXXXX-XX.XXXX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cs="Bell MT" w:ascii="Arial" w:hAnsi="Arial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cs="Bell MT" w:ascii="Arial" w:hAnsi="Arial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cs="Bell MT" w:ascii="Arial" w:hAnsi="Arial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cs="Bell MT" w:ascii="Arial" w:hAnsi="Arial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Arial" w:hAnsi="Arial" w:cs="Bell MT"/>
          <w:b w:val="false"/>
          <w:b w:val="false"/>
          <w:bCs w:val="false"/>
          <w:color w:val="auto"/>
          <w:sz w:val="24"/>
          <w:szCs w:val="24"/>
          <w:shd w:fill="auto" w:val="clear"/>
          <w:lang w:val="pt-BR" w:bidi="hi-IN"/>
        </w:rPr>
      </w:pPr>
      <w:r>
        <w:rPr>
          <w:rStyle w:val="Nfaseforte"/>
          <w:rFonts w:cs="Bell MT" w:ascii="Liberation Serif" w:hAnsi="Liberation Serif"/>
          <w:color w:val="000000"/>
          <w:sz w:val="24"/>
          <w:szCs w:val="24"/>
          <w:shd w:fill="auto" w:val="clear"/>
          <w:lang w:val="pt-BR" w:bidi="hi-IN"/>
        </w:rPr>
        <w:t>NOME DO ARREMATANTE</w:t>
      </w:r>
      <w:r>
        <w:rPr>
          <w:rFonts w:cs="Bell MT" w:ascii="Liberation Serif" w:hAnsi="Liberation Serif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  <w:t>, arrematante já qualificado(a) nos autos do processo em epígrafe, vem, respeitosamente, à presença de V. Excelência, informar e ao final requerer o que segue.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 w:cs="Bell MT"/>
          <w:b w:val="false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pPr>
      <w:r>
        <w:rPr>
          <w:rFonts w:cs="Bell MT" w:ascii="Liberation Serif" w:hAnsi="Liberation Serif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 w:cs="Bell MT"/>
          <w:b w:val="false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pPr>
      <w:r>
        <w:rPr>
          <w:rFonts w:cs="Bell MT" w:ascii="Liberation Serif" w:hAnsi="Liberation Serif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 w:cs="Bell MT"/>
          <w:b/>
          <w:b/>
          <w:bCs/>
          <w:color w:val="000000"/>
          <w:sz w:val="24"/>
          <w:szCs w:val="24"/>
          <w:shd w:fill="auto" w:val="clear"/>
          <w:lang w:val="pt-BR" w:bidi="hi-IN"/>
        </w:rPr>
      </w:pPr>
      <w:r>
        <w:rPr>
          <w:rFonts w:cs="Bell MT" w:ascii="Liberation Serif" w:hAnsi="Liberation Serif"/>
          <w:b/>
          <w:bCs/>
          <w:color w:val="000000"/>
          <w:sz w:val="24"/>
          <w:szCs w:val="24"/>
          <w:shd w:fill="auto" w:val="clear"/>
          <w:lang w:val="pt-BR" w:bidi="hi-IN"/>
        </w:rPr>
        <w:t>I – DOS FATOS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 w:cs="Bell MT"/>
          <w:b w:val="false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pPr>
      <w:r>
        <w:rPr>
          <w:rFonts w:cs="Bell MT" w:ascii="Liberation Serif" w:hAnsi="Liberation Serif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Este(a) arrematante participou do Leilão Judicial realizado por este D. Juízo, em </w:t>
      </w:r>
      <w:r>
        <w:rPr>
          <w:rFonts w:ascii="Liberation Serif" w:hAnsi="Liberation Serif"/>
          <w:b/>
          <w:bCs/>
          <w:color w:val="000000"/>
          <w:sz w:val="24"/>
          <w:szCs w:val="24"/>
          <w:u w:val="single"/>
        </w:rPr>
        <w:t>XX/XX/XXXX</w:t>
      </w:r>
      <w:r>
        <w:rPr>
          <w:rFonts w:ascii="Liberation Serif" w:hAnsi="Liberation Serif"/>
          <w:color w:val="000000"/>
          <w:sz w:val="24"/>
          <w:szCs w:val="24"/>
        </w:rPr>
        <w:t>, no qual veio a adquirir o seguinte bem: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1701" w:right="0" w:hanging="0"/>
        <w:jc w:val="both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“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(DESCRIÇÃO DO BEM)”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Ressalt</w:t>
      </w:r>
      <w:r>
        <w:rPr>
          <w:rFonts w:ascii="Liberation Serif" w:hAnsi="Liberation Serif"/>
          <w:color w:val="000000"/>
          <w:sz w:val="24"/>
          <w:szCs w:val="24"/>
        </w:rPr>
        <w:t>a</w:t>
      </w:r>
      <w:r>
        <w:rPr>
          <w:rFonts w:ascii="Liberation Serif" w:hAnsi="Liberation Serif"/>
          <w:color w:val="000000"/>
          <w:sz w:val="24"/>
          <w:szCs w:val="24"/>
        </w:rPr>
        <w:t xml:space="preserve">-se que a arrematação se encontra </w:t>
      </w:r>
      <w:r>
        <w:rPr>
          <w:rFonts w:ascii="Liberation Serif" w:hAnsi="Liberation Serif"/>
          <w:color w:val="000000"/>
          <w:sz w:val="24"/>
          <w:szCs w:val="24"/>
          <w:u w:val="single"/>
        </w:rPr>
        <w:t>perfeita, acabada e irretratável</w:t>
      </w:r>
      <w:r>
        <w:rPr>
          <w:rFonts w:ascii="Liberation Serif" w:hAnsi="Liberation Serif"/>
          <w:color w:val="000000"/>
          <w:sz w:val="24"/>
          <w:szCs w:val="24"/>
        </w:rPr>
        <w:t>, inclusive com a expedição da competente Carta de Arrematação/Ordem de Entrega (Evento XX), estando o(a) Arrematante atualmente na posse do bem.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Em contrapartida</w:t>
      </w:r>
      <w:r>
        <w:rPr>
          <w:rFonts w:ascii="Liberation Serif" w:hAnsi="Liberation Serif"/>
          <w:color w:val="000000"/>
          <w:sz w:val="24"/>
          <w:szCs w:val="24"/>
        </w:rPr>
        <w:t xml:space="preserve">, o(a) </w:t>
      </w:r>
      <w:r>
        <w:rPr>
          <w:rFonts w:ascii="Liberation Serif" w:hAnsi="Liberation Serif"/>
          <w:sz w:val="24"/>
          <w:szCs w:val="24"/>
        </w:rPr>
        <w:t>Arrematante vem enfrentando dificuldades para realizar a transferência do bem para seu nome, uma vez que o DETRAN/XX se recusa a efetuar a alteração da titularidade do veículo arrematado em hasta pública, exigindo a prévia baixa de todas as restrições incidentes sobre o bem, inclusive débitos de IPVA, licenciamento, extinção de penhoras e outras averbações restritivas.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O(a) Arrematante, portanto, encontra-se em situação frustrante, pois não pode exercer plenamente o direito de propriedade sobre o bem arrematado, tendo em vista os óbices impostos pela existência de pendências que não foram geradas por sua conduta.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II – DO DIREITO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Nos termos do artigo 908, §1º, do Código de Processo Civil, a arrematação em hasta pública assegura ao(à) Arrematante a aquisição do bem livre de quaisquer ônus ou encargos, sobretudo aqueles decorrentes de obrigações atribuídas ao antigo proprietário. Trata-se de garantia que visa preservar a segurança jurídica dos leilões judiciais, evitando que o adquirente seja prejudicado por débitos alheios.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Adicionalmente, o artigo 130, parágrafo único, do Código Tributário Nacional dispõe que os créditos tributários que recaem sobre o bem devem ser sub-rogados no preço da arrematação.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Neste sentido, a jurisprudência tem</w:t>
      </w:r>
      <w:r>
        <w:rPr>
          <w:rFonts w:ascii="Liberation Serif" w:hAnsi="Liberation Serif"/>
          <w:color w:val="000000"/>
          <w:sz w:val="24"/>
          <w:szCs w:val="24"/>
        </w:rPr>
        <w:t xml:space="preserve"> consolidado </w:t>
      </w:r>
      <w:r>
        <w:rPr>
          <w:rFonts w:ascii="Liberation Serif" w:hAnsi="Liberation Serif"/>
          <w:color w:val="000000"/>
          <w:sz w:val="24"/>
          <w:szCs w:val="24"/>
        </w:rPr>
        <w:t>o entendimento de que os débitos anteriores à arrematação devem ser</w:t>
      </w:r>
      <w:r>
        <w:rPr>
          <w:rFonts w:ascii="Liberation Serif" w:hAnsi="Liberation Serif"/>
          <w:color w:val="000000"/>
          <w:sz w:val="24"/>
          <w:szCs w:val="24"/>
        </w:rPr>
        <w:t xml:space="preserve"> sub-rogados no preço da arrematação. Vej</w:t>
      </w:r>
      <w:r>
        <w:rPr>
          <w:rFonts w:ascii="Liberation Serif" w:hAnsi="Liberation Serif"/>
          <w:color w:val="000000"/>
          <w:sz w:val="24"/>
          <w:szCs w:val="24"/>
        </w:rPr>
        <w:t>amos</w:t>
      </w:r>
      <w:r>
        <w:rPr>
          <w:rFonts w:ascii="Liberation Serif" w:hAnsi="Liberation Serif"/>
          <w:color w:val="000000"/>
          <w:sz w:val="24"/>
          <w:szCs w:val="24"/>
        </w:rPr>
        <w:t>: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1701" w:right="0" w:hanging="0"/>
        <w:jc w:val="both"/>
        <w:rPr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TRIBUTÁRIO. IPVA. VEÍCULO. LEILÃO JUDICIAL. SUB-ROGAÇÃO NO PREÇO. ARREMATANTE. RESPONSABILIZAÇÃO. PREVISÃO NO EDITAL. NECESSIDADE.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1701" w:right="0" w:hanging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Em caso de arrematação de veículo em leilão judicial, a jurisprudência firmada neste Sodalício vem admitindo a aplicação analógica do art. 130, parágrafo único, do CTN, de modo que os débitos anteriores referentes à propriedade do bem (art. 1.116 do CPC/1973 e art. 908, § 1º, do CPC/2015), inclusive os de natureza tributária, como o IPVA, sub-rogam-se sobre o preço alcançado, não sendo possível, em princípio, atribuir ao arrematante a responsabilidade para o pagamento de tais dívidas.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1701" w:right="0" w:hanging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2. O afastamento da regra disposta no art. 130, parágrafo único, do CTN, pressupõe expressa cláusula no edital prevendo a responsabilidade do arrematante ao pagamento dos débitos anteriores que recaiam sobre o bem. (AgInt no </w:t>
      </w:r>
      <w:r>
        <w:rPr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REsp n. 1.789.930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/SP, relator Ministro Gurgel de Faria, Primeira Turma, julgado em 16/11/2020, DJe de 27/11/2020.)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Desta forma</w:t>
      </w:r>
      <w:r>
        <w:rPr>
          <w:rFonts w:ascii="Liberation Serif" w:hAnsi="Liberation Serif"/>
          <w:color w:val="000000"/>
          <w:sz w:val="24"/>
          <w:szCs w:val="24"/>
        </w:rPr>
        <w:t xml:space="preserve">, não há fundamento legal ou jurisprudencial que ampare a exigência de quitação prévia dos débitos pelo(a) Arrematante, razão pela qual é imperioso que o Poder Judiciário assegure a efetivação da transferência do bem </w:t>
      </w:r>
      <w:r>
        <w:rPr>
          <w:rFonts w:ascii="Liberation Serif" w:hAnsi="Liberation Serif"/>
          <w:color w:val="000000"/>
          <w:sz w:val="24"/>
          <w:szCs w:val="24"/>
        </w:rPr>
        <w:t>ao arrematante</w:t>
      </w:r>
      <w:r>
        <w:rPr>
          <w:rFonts w:ascii="Liberation Serif" w:hAnsi="Liberation Serif"/>
          <w:color w:val="000000"/>
          <w:sz w:val="24"/>
          <w:szCs w:val="24"/>
        </w:rPr>
        <w:t>, livre de quaisquer restrições indevidas.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b/>
          <w:b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III – DOS PEDIDOS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Diante do exposto, faz-se a presente para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REQUERER</w:t>
      </w:r>
      <w:r>
        <w:rPr>
          <w:rFonts w:ascii="Liberation Serif" w:hAnsi="Liberation Serif"/>
          <w:color w:val="000000"/>
          <w:sz w:val="24"/>
          <w:szCs w:val="24"/>
        </w:rPr>
        <w:t xml:space="preserve"> que Vossa Excelência se digne em: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644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a)</w:t>
      </w:r>
      <w:r>
        <w:rPr>
          <w:rFonts w:ascii="Liberation Serif" w:hAnsi="Liberation Serif"/>
          <w:color w:val="000000"/>
          <w:sz w:val="24"/>
          <w:szCs w:val="24"/>
        </w:rPr>
        <w:t xml:space="preserve"> Determinar que a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S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ecretaria da Vara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i w:val="false"/>
          <w:iCs w:val="false"/>
          <w:color w:val="000000"/>
          <w:sz w:val="24"/>
          <w:szCs w:val="24"/>
          <w:u w:val="none"/>
        </w:rPr>
        <w:t xml:space="preserve">promova a </w:t>
      </w:r>
      <w:r>
        <w:rPr>
          <w:rFonts w:ascii="Liberation Serif" w:hAnsi="Liberation Serif"/>
          <w:color w:val="000000"/>
          <w:sz w:val="24"/>
          <w:szCs w:val="24"/>
          <w:u w:val="single"/>
        </w:rPr>
        <w:t>retirada da restrição RENAJUD de XXXXXX</w:t>
      </w:r>
      <w:r>
        <w:rPr>
          <w:rFonts w:ascii="Liberation Serif" w:hAnsi="Liberation Serif"/>
          <w:color w:val="000000"/>
          <w:sz w:val="24"/>
          <w:szCs w:val="24"/>
        </w:rPr>
        <w:t>, referente ao processo n° XXXXXXX, que reca</w:t>
      </w:r>
      <w:r>
        <w:rPr>
          <w:rFonts w:ascii="Liberation Serif" w:hAnsi="Liberation Serif"/>
          <w:color w:val="000000"/>
          <w:sz w:val="24"/>
          <w:szCs w:val="24"/>
        </w:rPr>
        <w:t>i</w:t>
      </w:r>
      <w:r>
        <w:rPr>
          <w:rFonts w:ascii="Liberation Serif" w:hAnsi="Liberation Serif"/>
          <w:color w:val="000000"/>
          <w:sz w:val="24"/>
          <w:szCs w:val="24"/>
        </w:rPr>
        <w:t xml:space="preserve"> sobre o veículo arrematado de placa XXXXX;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b)</w:t>
      </w:r>
      <w:r>
        <w:rPr>
          <w:rFonts w:ascii="Liberation Serif" w:hAnsi="Liberation Serif"/>
          <w:color w:val="000000"/>
          <w:sz w:val="24"/>
          <w:szCs w:val="24"/>
        </w:rPr>
        <w:t xml:space="preserve"> Determinar a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expedição de ofício à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XX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Vara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de XXXX</w:t>
      </w:r>
      <w:r>
        <w:rPr>
          <w:rFonts w:ascii="Liberation Serif" w:hAnsi="Liberation Serif"/>
          <w:color w:val="000000"/>
          <w:sz w:val="24"/>
          <w:szCs w:val="24"/>
        </w:rPr>
        <w:t xml:space="preserve">, para que promova a </w:t>
      </w:r>
      <w:r>
        <w:rPr>
          <w:rFonts w:ascii="Liberation Serif" w:hAnsi="Liberation Serif"/>
          <w:color w:val="000000"/>
          <w:sz w:val="24"/>
          <w:szCs w:val="24"/>
          <w:u w:val="single"/>
        </w:rPr>
        <w:t>retirada da restrição RENAJUD de XXXXXX</w:t>
      </w:r>
      <w:r>
        <w:rPr>
          <w:rFonts w:ascii="Liberation Serif" w:hAnsi="Liberation Serif"/>
          <w:color w:val="000000"/>
          <w:sz w:val="24"/>
          <w:szCs w:val="24"/>
        </w:rPr>
        <w:t>, referente ao processo n° XXXXXXX, que reca</w:t>
      </w:r>
      <w:r>
        <w:rPr>
          <w:rFonts w:ascii="Liberation Serif" w:hAnsi="Liberation Serif"/>
          <w:color w:val="000000"/>
          <w:sz w:val="24"/>
          <w:szCs w:val="24"/>
        </w:rPr>
        <w:t>i</w:t>
      </w:r>
      <w:r>
        <w:rPr>
          <w:rFonts w:ascii="Liberation Serif" w:hAnsi="Liberation Serif"/>
          <w:color w:val="000000"/>
          <w:sz w:val="24"/>
          <w:szCs w:val="24"/>
        </w:rPr>
        <w:t xml:space="preserve"> sobre o veículo arrematado de placa XXXXX;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c)</w:t>
      </w:r>
      <w:r>
        <w:rPr>
          <w:rFonts w:ascii="Liberation Serif" w:hAnsi="Liberation Serif"/>
          <w:color w:val="000000"/>
          <w:sz w:val="24"/>
          <w:szCs w:val="24"/>
        </w:rPr>
        <w:t xml:space="preserve"> Determinar a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expedição de ofício à Secretaria de Fazenda Pública de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(o)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 XXXXXX – SEFAZ/XX</w:t>
      </w:r>
      <w:r>
        <w:rPr>
          <w:rFonts w:ascii="Liberation Serif" w:hAnsi="Liberation Serif"/>
          <w:color w:val="000000"/>
          <w:sz w:val="24"/>
          <w:szCs w:val="24"/>
        </w:rPr>
        <w:t xml:space="preserve">, na pessoa de seu representante legal, para que realize a </w:t>
      </w:r>
      <w:r>
        <w:rPr>
          <w:rFonts w:ascii="Liberation Serif" w:hAnsi="Liberation Serif"/>
          <w:color w:val="000000"/>
          <w:sz w:val="24"/>
          <w:szCs w:val="24"/>
          <w:u w:val="single"/>
        </w:rPr>
        <w:t>baixa dos débitos de IPVA e licenciamento</w:t>
      </w:r>
      <w:r>
        <w:rPr>
          <w:rFonts w:ascii="Liberation Serif" w:hAnsi="Liberation Serif"/>
          <w:color w:val="000000"/>
          <w:sz w:val="24"/>
          <w:szCs w:val="24"/>
        </w:rPr>
        <w:t>, anteriores à arrematação;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/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>d)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color w:val="000000"/>
          <w:sz w:val="24"/>
          <w:szCs w:val="24"/>
        </w:rPr>
        <w:t>Determinar a</w:t>
      </w: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expedição de ofício ao Departamento de Trânsito do Estado de XXXX – DETRAN/XX</w:t>
      </w:r>
      <w:r>
        <w:rPr>
          <w:rFonts w:ascii="Liberation Serif" w:hAnsi="Liberation Serif"/>
          <w:color w:val="000000"/>
          <w:sz w:val="24"/>
          <w:szCs w:val="24"/>
        </w:rPr>
        <w:t xml:space="preserve">, na pessoa de seu representante legal, para que providencie a </w:t>
      </w:r>
      <w:r>
        <w:rPr>
          <w:rFonts w:ascii="Liberation Serif" w:hAnsi="Liberation Serif"/>
          <w:color w:val="000000"/>
          <w:sz w:val="24"/>
          <w:szCs w:val="24"/>
          <w:u w:val="single"/>
        </w:rPr>
        <w:t>baixa e extinção dos ônus anteriormente registrados sobre o bem arrematado</w:t>
      </w:r>
      <w:r>
        <w:rPr>
          <w:rFonts w:ascii="Liberation Serif" w:hAnsi="Liberation Serif"/>
          <w:color w:val="000000"/>
          <w:sz w:val="24"/>
          <w:szCs w:val="24"/>
        </w:rPr>
        <w:t xml:space="preserve">, bem como a imediata transferência da propriedade para o nome do(a) Arrematante. </w:t>
      </w:r>
      <w:r>
        <w:rPr>
          <w:rFonts w:ascii="Liberation Serif" w:hAnsi="Liberation Serif"/>
          <w:color w:val="000000"/>
          <w:sz w:val="24"/>
          <w:szCs w:val="24"/>
        </w:rPr>
        <w:t>R</w:t>
      </w:r>
      <w:r>
        <w:rPr>
          <w:rFonts w:ascii="Liberation Serif" w:hAnsi="Liberation Serif"/>
          <w:color w:val="000000"/>
          <w:sz w:val="24"/>
          <w:szCs w:val="24"/>
        </w:rPr>
        <w:t xml:space="preserve">equer-se, </w:t>
      </w:r>
      <w:r>
        <w:rPr>
          <w:rFonts w:ascii="Liberation Serif" w:hAnsi="Liberation Serif"/>
          <w:color w:val="000000"/>
          <w:sz w:val="24"/>
          <w:szCs w:val="24"/>
        </w:rPr>
        <w:t xml:space="preserve">ainda, o </w:t>
      </w:r>
      <w:r>
        <w:rPr>
          <w:rStyle w:val="Nfaseforte"/>
          <w:rFonts w:ascii="Liberation Serif" w:hAnsi="Liberation Serif"/>
          <w:b w:val="false"/>
          <w:bCs w:val="false"/>
          <w:sz w:val="24"/>
          <w:szCs w:val="24"/>
          <w:u w:val="single"/>
        </w:rPr>
        <w:t>cancelamento de eventuais multas por atraso na transferência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e dos </w:t>
      </w:r>
      <w:r>
        <w:rPr>
          <w:rStyle w:val="Nfaseforte"/>
          <w:rFonts w:ascii="Liberation Serif" w:hAnsi="Liberation Serif"/>
          <w:b w:val="false"/>
          <w:bCs w:val="false"/>
          <w:sz w:val="24"/>
          <w:szCs w:val="24"/>
        </w:rPr>
        <w:t>pontos eventualmente lançados no prontuário do veículo</w:t>
      </w:r>
      <w:r>
        <w:rPr>
          <w:rFonts w:ascii="Liberation Serif" w:hAnsi="Liberation Serif"/>
          <w:b w:val="false"/>
          <w:bCs w:val="false"/>
          <w:sz w:val="24"/>
          <w:szCs w:val="24"/>
        </w:rPr>
        <w:t>, tendo em vista que tais consequências decorrem de circunstâncias alheias à vontade do(a) Arrematante, q</w:t>
      </w:r>
      <w:r>
        <w:rPr>
          <w:rFonts w:ascii="Liberation Serif" w:hAnsi="Liberation Serif"/>
          <w:sz w:val="24"/>
          <w:szCs w:val="24"/>
        </w:rPr>
        <w:t>ue, tão logo recebeu a Carta de Arrematação, adotou as providências cabíveis para a transferência do bem.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Termos em que,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b w:val="false"/>
          <w:b w:val="false"/>
          <w:bCs w:val="false"/>
          <w:color w:val="000000"/>
        </w:rPr>
      </w:pPr>
      <w:r>
        <w:rPr>
          <w:rStyle w:val="Nfaseforte"/>
          <w:rFonts w:ascii="Liberation Serif" w:hAnsi="Liberation Serif"/>
          <w:b w:val="false"/>
          <w:bCs w:val="false"/>
          <w:color w:val="000000"/>
          <w:sz w:val="24"/>
          <w:szCs w:val="24"/>
        </w:rPr>
        <w:t>Pede deferimento.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170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Cidade/Estado, XX de XXXX de 2025.</w:t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/>
      </w:r>
    </w:p>
    <w:p>
      <w:pPr>
        <w:pStyle w:val="Corpodotexto"/>
        <w:spacing w:lineRule="auto" w:line="276" w:before="0" w:after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/>
      </w:r>
    </w:p>
    <w:p>
      <w:pPr>
        <w:pStyle w:val="Corpodotexto"/>
        <w:spacing w:lineRule="auto" w:line="276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Style w:val="Nfaseforte"/>
          <w:rFonts w:ascii="Liberation Serif" w:hAnsi="Liberation Serif"/>
          <w:color w:val="000000"/>
          <w:sz w:val="24"/>
          <w:szCs w:val="24"/>
        </w:rPr>
        <w:t>___________________________</w:t>
      </w:r>
    </w:p>
    <w:p>
      <w:pPr>
        <w:pStyle w:val="Corpodotexto"/>
        <w:spacing w:lineRule="auto" w:line="276" w:before="0" w:after="0"/>
        <w:jc w:val="center"/>
        <w:rPr/>
      </w:pPr>
      <w:r>
        <w:rPr>
          <w:rStyle w:val="Nfaseforte"/>
          <w:rFonts w:ascii="Liberation Serif" w:hAnsi="Liberation Serif"/>
          <w:color w:val="000000"/>
          <w:sz w:val="24"/>
          <w:szCs w:val="24"/>
        </w:rPr>
        <w:t>NOME DO ARREMATANTE</w:t>
      </w:r>
      <w:r>
        <w:rPr>
          <w:rFonts w:ascii="Liberation Serif" w:hAnsi="Liberation Serif"/>
          <w:color w:val="000000"/>
          <w:sz w:val="24"/>
          <w:szCs w:val="24"/>
        </w:rPr>
        <w:br/>
        <w:t>Arrematante</w:t>
      </w:r>
    </w:p>
    <w:p>
      <w:pPr>
        <w:pStyle w:val="Corpodotexto"/>
        <w:spacing w:lineRule="auto" w:line="276" w:before="0" w:after="0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erif" w:hAnsi="Liberation Serif" w:cs="Bell MT"/>
          <w:b w:val="false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pPr>
      <w:r>
        <w:rPr>
          <w:rFonts w:cs="Bell MT" w:ascii="Liberation Serif" w:hAnsi="Liberation Serif"/>
          <w:b w:val="false"/>
          <w:bCs w:val="false"/>
          <w:color w:val="000000"/>
          <w:sz w:val="24"/>
          <w:szCs w:val="24"/>
          <w:shd w:fill="auto" w:val="clear"/>
          <w:lang w:val="pt-BR" w:bidi="hi-IN"/>
        </w:rPr>
      </w:r>
    </w:p>
    <w:sectPr>
      <w:type w:val="nextPage"/>
      <w:pgSz w:w="11906" w:h="16838"/>
      <w:pgMar w:left="1701" w:right="1130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%1.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Ttulo2"/>
      <w:numFmt w:val="none"/>
      <w:suff w:val="nothing"/>
      <w:lvlText w:val="%2.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Ttulo3"/>
      <w:numFmt w:val="none"/>
      <w:suff w:val="nothing"/>
      <w:lvlText w:val="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Nfase">
    <w:name w:val="Emphasis"/>
    <w:qFormat/>
    <w:rPr>
      <w:i/>
      <w:iCs/>
    </w:rPr>
  </w:style>
  <w:style w:type="character" w:styleId="LinkdaInternet">
    <w:name w:val="Hyperlink"/>
    <w:rPr>
      <w:color w:val="000080"/>
      <w:u w:val="single"/>
      <w:lang w:val="zxx" w:bidi="zxx"/>
    </w:rPr>
  </w:style>
  <w:style w:type="character" w:styleId="Fontepargpadro">
    <w:name w:val="Fonte parág. padrão"/>
    <w:qFormat/>
    <w:rPr/>
  </w:style>
  <w:style w:type="character" w:styleId="Nfaseforte">
    <w:name w:val="Strong"/>
    <w:basedOn w:val="Fontepargpadro"/>
    <w:qFormat/>
    <w:rPr>
      <w:b/>
      <w:bCs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WWCaracteresdenotaderodap">
    <w:name w:val="WW-Caracteres de nota de rodapé"/>
    <w:qFormat/>
    <w:rPr/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Ncoradanotaderodap">
    <w:name w:val="Foot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CorpodetextoChar">
    <w:name w:val="Corpo de texto Char"/>
    <w:basedOn w:val="DefaultParagraphFont"/>
    <w:qFormat/>
    <w:rPr>
      <w:rFonts w:cs="0"/>
    </w:rPr>
  </w:style>
  <w:style w:type="character" w:styleId="Corpodetexto2Char">
    <w:name w:val="Corpo de texto 2 Char"/>
    <w:basedOn w:val="DefaultParagraphFont"/>
    <w:qFormat/>
    <w:rPr>
      <w:rFonts w:cs="0"/>
      <w:sz w:val="20"/>
      <w:szCs w:val="20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rpodetexto2">
    <w:name w:val="Corpo de texto 2"/>
    <w:basedOn w:val="Normal"/>
    <w:qFormat/>
    <w:pPr>
      <w:jc w:val="both"/>
    </w:pPr>
    <w:rPr>
      <w:sz w:val="28"/>
      <w:szCs w:val="20"/>
    </w:rPr>
  </w:style>
  <w:style w:type="paragraph" w:styleId="Western">
    <w:name w:val="western"/>
    <w:basedOn w:val="Normal"/>
    <w:qFormat/>
    <w:pPr>
      <w:spacing w:before="280" w:after="119"/>
    </w:pPr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Liberation Serif" w:hAnsi="Liberation Serif" w:eastAsia="Noto Serif CJK SC" w:cs="Lohit Devanagari"/>
      <w:color w:val="auto"/>
      <w:kern w:val="2"/>
      <w:sz w:val="20"/>
      <w:szCs w:val="24"/>
      <w:lang w:val="pt-BR" w:eastAsia="zh-CN" w:bidi="hi-IN"/>
    </w:rPr>
  </w:style>
  <w:style w:type="paragraph" w:styleId="BodyText2">
    <w:name w:val="Body Text 2"/>
    <w:basedOn w:val="Normal"/>
    <w:qFormat/>
    <w:pPr>
      <w:jc w:val="both"/>
    </w:pPr>
    <w:rPr>
      <w:sz w:val="28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537" w:leader="none"/>
        <w:tab w:val="right" w:pos="9075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34556</TotalTime>
  <Application>LibreOffice/7.4.5.1$Windows_X86_64 LibreOffice_project/9c0871452b3918c1019dde9bfac75448afc4b57f</Application>
  <AppVersion>15.0000</AppVersion>
  <Pages>3</Pages>
  <Words>718</Words>
  <Characters>4061</Characters>
  <CharactersWithSpaces>4756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2012-10-04T10:09:17Z</dcterms:created>
  <dc:creator/>
  <dc:description/>
  <dc:language>pt-BR</dc:language>
  <cp:lastModifiedBy/>
  <dcterms:modified xsi:type="dcterms:W3CDTF">2025-07-31T16:45:59Z</dcterms:modified>
  <cp:revision>12</cp:revision>
  <dc:subject/>
  <dc:title/>
</cp:coreProperties>
</file>